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A36AA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4890D8A6" w:rsidR="000378A5" w:rsidRDefault="00A9215A" w:rsidP="00A36AA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Presenting Data Graphically</w:t>
            </w:r>
          </w:p>
        </w:tc>
      </w:tr>
      <w:tr w:rsidR="000378A5" w:rsidRPr="002F051B" w14:paraId="5845B6FC" w14:textId="77777777" w:rsidTr="00A773F3">
        <w:trPr>
          <w:trHeight w:hRule="exact" w:val="8527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</w:tcPr>
          <w:p w14:paraId="7485E1B5" w14:textId="449CEF1C" w:rsidR="002E0148" w:rsidRPr="002E0148" w:rsidRDefault="002E0148" w:rsidP="00A96A37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E014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Compares the information from different graphs for the same </w:t>
            </w:r>
            <w:r w:rsidR="00A96A3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2E014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data set </w:t>
            </w:r>
          </w:p>
          <w:p w14:paraId="4F30DA68" w14:textId="77777777" w:rsidR="002E0148" w:rsidRPr="002E0148" w:rsidRDefault="002E0148" w:rsidP="00A96A37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2037B926" w14:textId="338B5EFC" w:rsidR="002E0148" w:rsidRPr="002E0148" w:rsidRDefault="002E0148" w:rsidP="00A96A37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E014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Bar graph</w:t>
            </w:r>
          </w:p>
          <w:p w14:paraId="26D3B762" w14:textId="3A69F2BA" w:rsidR="002E0148" w:rsidRPr="002E0148" w:rsidRDefault="004E5A6A" w:rsidP="00A96A37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4E5A6A"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0D91927B" wp14:editId="24AD220C">
                  <wp:extent cx="1972310" cy="1209040"/>
                  <wp:effectExtent l="0" t="0" r="8890" b="0"/>
                  <wp:docPr id="86375983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375983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1209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7506DA7" w14:textId="5AB01BB2" w:rsidR="002E0148" w:rsidRPr="002E0148" w:rsidRDefault="002E0148" w:rsidP="00A96A37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E014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data for the bar graph are shown as percents in this circle graph.</w:t>
            </w:r>
          </w:p>
          <w:p w14:paraId="173AD747" w14:textId="411D09BA" w:rsidR="002E0148" w:rsidRPr="002E0148" w:rsidRDefault="000D2C09" w:rsidP="0000232D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b/>
                <w:bCs/>
                <w:noProof/>
                <w:color w:val="595959" w:themeColor="text1" w:themeTint="A6"/>
                <w:sz w:val="19"/>
                <w:szCs w:val="19"/>
                <w:lang w:val="fr-CA"/>
              </w:rPr>
              <w:drawing>
                <wp:inline distT="0" distB="0" distL="0" distR="0" wp14:anchorId="5B308374" wp14:editId="7C6B40CC">
                  <wp:extent cx="1692000" cy="1757710"/>
                  <wp:effectExtent l="0" t="0" r="3810" b="0"/>
                  <wp:docPr id="207425029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2000" cy="1757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20D69D4" w14:textId="77777777" w:rsidR="002E0148" w:rsidRPr="0000232D" w:rsidRDefault="002E0148" w:rsidP="00A96A37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  <w:lang w:val="fr-CA"/>
              </w:rPr>
            </w:pPr>
          </w:p>
          <w:p w14:paraId="27A1B146" w14:textId="77777777" w:rsidR="002E0148" w:rsidRPr="002E0148" w:rsidRDefault="002E0148" w:rsidP="00A96A37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E014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If I want to know how many students are in each grade, I would use the bar graph.</w:t>
            </w:r>
          </w:p>
          <w:p w14:paraId="011A9A4F" w14:textId="77777777" w:rsidR="002E0148" w:rsidRPr="002E0148" w:rsidRDefault="002E0148" w:rsidP="00A96A37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E014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If I wanted to compare the sizes of the classes, I would use the circle graph and compare the sectors.</w:t>
            </w:r>
          </w:p>
          <w:p w14:paraId="4D8053C5" w14:textId="77777777" w:rsidR="000378A5" w:rsidRPr="002E0148" w:rsidRDefault="000378A5" w:rsidP="00A96A37">
            <w:pPr>
              <w:pStyle w:val="TableParagraph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</w:tcPr>
          <w:p w14:paraId="29E56615" w14:textId="77777777" w:rsidR="002E0148" w:rsidRPr="002E0148" w:rsidRDefault="002E0148" w:rsidP="00A96A37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E014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Uses the given data to decide on the type of graph to draw, and justifies the choice</w:t>
            </w:r>
          </w:p>
          <w:p w14:paraId="608A0347" w14:textId="77777777" w:rsidR="002E0148" w:rsidRPr="002E0148" w:rsidRDefault="002E0148" w:rsidP="00A96A37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29AC97DB" w14:textId="398CDE0A" w:rsidR="002E0148" w:rsidRPr="002E0148" w:rsidRDefault="002E0148" w:rsidP="00A96A37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E014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I created a </w:t>
            </w:r>
            <w:r w:rsidR="001C418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double bar graph </w:t>
            </w:r>
            <w:r w:rsidR="008009F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to show the favourite streaming apps for students and teachers. </w:t>
            </w:r>
            <w:r w:rsidRPr="002E014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Because </w:t>
            </w:r>
            <w:r w:rsidR="00851D6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two sets of data are being compared, a double bar graph is appropriate. </w:t>
            </w:r>
            <w:r w:rsidR="0088542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</w:t>
            </w:r>
            <w:r w:rsidRPr="002E014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 </w:t>
            </w:r>
            <w:r w:rsidR="0088542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makes it </w:t>
            </w:r>
            <w:r w:rsidRPr="002E014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eas</w:t>
            </w:r>
            <w:r w:rsidR="003125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y</w:t>
            </w:r>
            <w:r w:rsidRPr="002E014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to compare the categories.</w:t>
            </w:r>
          </w:p>
          <w:p w14:paraId="26F42419" w14:textId="77777777" w:rsidR="002E0148" w:rsidRDefault="002E0148" w:rsidP="00A96A37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  <w:p w14:paraId="22022B7C" w14:textId="6C2EEA57" w:rsidR="002E0148" w:rsidRPr="00A96A37" w:rsidRDefault="001C4185" w:rsidP="0000232D">
            <w:pPr>
              <w:spacing w:line="276" w:lineRule="auto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  <w:lang w:val="fr-FR"/>
              </w:rPr>
            </w:pPr>
            <w:r w:rsidRPr="008E57C3">
              <w:rPr>
                <w:rFonts w:ascii="Calibri" w:hAnsi="Calibri" w:cs="Calibri"/>
                <w:noProof/>
              </w:rPr>
              <w:drawing>
                <wp:inline distT="0" distB="0" distL="0" distR="0" wp14:anchorId="172E15E0" wp14:editId="5C3A9322">
                  <wp:extent cx="2019477" cy="1691640"/>
                  <wp:effectExtent l="0" t="0" r="0" b="3810"/>
                  <wp:docPr id="1530328239" name="Picture 1" descr="A graph of a student watching apps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0328239" name="Picture 1" descr="A graph of a student watching apps&#10;&#10;AI-generated content may be incorrect.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2498" cy="16941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8CB78D0" w14:textId="77777777" w:rsidR="000378A5" w:rsidRPr="00A96A37" w:rsidRDefault="000378A5" w:rsidP="00A96A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</w:tcPr>
          <w:p w14:paraId="186F169B" w14:textId="76608DE8" w:rsidR="00A9215A" w:rsidRDefault="00A9215A" w:rsidP="00A96A37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A9215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Asks and answers questions about </w:t>
            </w:r>
            <w:r w:rsidR="00A96A3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A9215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a graph</w:t>
            </w:r>
          </w:p>
          <w:p w14:paraId="6A65A6DA" w14:textId="58BEEBC2" w:rsidR="00A9215A" w:rsidRDefault="00A9215A" w:rsidP="00A96A37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73DCA69" w14:textId="77777777" w:rsidR="00A96A37" w:rsidRDefault="00A96A37" w:rsidP="00A96A37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BE6CBBB" w14:textId="4EDB630B" w:rsidR="00A9215A" w:rsidRPr="00A96A37" w:rsidRDefault="001F5C30" w:rsidP="0000232D">
            <w:pPr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FR"/>
              </w:rPr>
            </w:pPr>
            <w:r w:rsidRPr="008E57C3">
              <w:rPr>
                <w:rFonts w:ascii="Calibri" w:hAnsi="Calibri" w:cs="Calibri"/>
                <w:noProof/>
              </w:rPr>
              <w:drawing>
                <wp:inline distT="0" distB="0" distL="0" distR="0" wp14:anchorId="02B1E23B" wp14:editId="7D4090C0">
                  <wp:extent cx="2019477" cy="1691640"/>
                  <wp:effectExtent l="0" t="0" r="0" b="3810"/>
                  <wp:docPr id="1108347348" name="Picture 1" descr="A graph of a student watching apps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0328239" name="Picture 1" descr="A graph of a student watching apps&#10;&#10;AI-generated content may be incorrect.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2498" cy="16941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7B67CC9" w14:textId="72FC72FB" w:rsidR="00D23A2C" w:rsidRDefault="00A9215A" w:rsidP="00A96A37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A9215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Question: What </w:t>
            </w:r>
            <w:r w:rsidR="0062127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do you know about the favourite </w:t>
            </w:r>
            <w:r w:rsidR="00D23A2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streaming app of students and teachers?</w:t>
            </w:r>
          </w:p>
          <w:p w14:paraId="30227CE8" w14:textId="4025DDB0" w:rsidR="00A9215A" w:rsidRPr="00A9215A" w:rsidRDefault="00A9215A" w:rsidP="00A96A37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A9215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Answer:</w:t>
            </w:r>
          </w:p>
          <w:p w14:paraId="361E9E0F" w14:textId="499CC2CC" w:rsidR="00A9215A" w:rsidRPr="00A9215A" w:rsidRDefault="00F64218" w:rsidP="00A96A37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Goodflix</w:t>
            </w:r>
            <w:proofErr w:type="spellEnd"/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  <w:r w:rsidR="00F1508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was the favourite streaming app of b</w:t>
            </w:r>
            <w:r w:rsidR="00D23A2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oth students and teachers</w:t>
            </w:r>
            <w:r w:rsidR="000623D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. </w:t>
            </w:r>
            <w:r w:rsidR="0038383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Almost all teachers (9</w:t>
            </w:r>
            <w:r w:rsidR="008545B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out of 12</w:t>
            </w:r>
            <w:r w:rsidR="0038383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) chose </w:t>
            </w:r>
            <w:proofErr w:type="spellStart"/>
            <w:r w:rsidR="0038383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G</w:t>
            </w:r>
            <w:r w:rsidR="003A15D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oodflix</w:t>
            </w:r>
            <w:proofErr w:type="spellEnd"/>
            <w:r w:rsidR="003A15D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, while only 5 </w:t>
            </w:r>
            <w:r w:rsidR="001E4AF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out of 12 </w:t>
            </w:r>
            <w:r w:rsidR="003A15D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students chose it. </w:t>
            </w:r>
          </w:p>
          <w:p w14:paraId="15E2BCE5" w14:textId="36275880" w:rsidR="000378A5" w:rsidRPr="00A9215A" w:rsidRDefault="000378A5" w:rsidP="00A96A37">
            <w:pPr>
              <w:pStyle w:val="TableParagraph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</w:tcPr>
          <w:p w14:paraId="1767C15A" w14:textId="7130F28B" w:rsidR="00A9215A" w:rsidRPr="00A9215A" w:rsidRDefault="00A9215A" w:rsidP="00A96A37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A9215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Suggests an alternative graph </w:t>
            </w:r>
            <w:r w:rsidR="00A96A3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A9215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to display a given data set</w:t>
            </w:r>
          </w:p>
          <w:p w14:paraId="02716467" w14:textId="77777777" w:rsidR="00A9215A" w:rsidRDefault="00A9215A" w:rsidP="00A96A37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2E510CB0" w14:textId="77777777" w:rsidR="00A96A37" w:rsidRPr="00A9215A" w:rsidRDefault="00A96A37" w:rsidP="00A96A37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97E2B08" w14:textId="30C89138" w:rsidR="000378A5" w:rsidRPr="00FA6158" w:rsidRDefault="00D80323" w:rsidP="00D80323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8032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For the </w:t>
            </w:r>
            <w:r w:rsidR="008D431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favourite streaming apps </w:t>
            </w:r>
            <w:r w:rsidRPr="00D8032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data, </w:t>
            </w:r>
            <w:r w:rsidR="008D431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two circle graphs could also be drawn, one for </w:t>
            </w:r>
            <w:r w:rsidR="00150EE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students’ data and one for the teachers’ data.</w:t>
            </w:r>
            <w:r w:rsidR="00FF48B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  <w:r w:rsidR="007029A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For each circle graph, </w:t>
            </w:r>
            <w:r w:rsidR="00FF48B7" w:rsidRPr="00A773F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each data value can be written as a percent of the whole</w:t>
            </w:r>
            <w:r w:rsidR="00FF48B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.</w:t>
            </w:r>
          </w:p>
        </w:tc>
      </w:tr>
    </w:tbl>
    <w:p w14:paraId="2485C9A6" w14:textId="2EB526C2" w:rsidR="00D47062" w:rsidRDefault="00D47062" w:rsidP="002461F7">
      <w:pPr>
        <w:rPr>
          <w:sz w:val="4"/>
          <w:szCs w:val="4"/>
        </w:rPr>
      </w:pPr>
    </w:p>
    <w:p w14:paraId="769CA016" w14:textId="71B6745C" w:rsidR="00243EBC" w:rsidRPr="00243EBC" w:rsidRDefault="00243EBC" w:rsidP="00243EBC">
      <w:pPr>
        <w:rPr>
          <w:sz w:val="4"/>
          <w:szCs w:val="4"/>
        </w:rPr>
      </w:pPr>
    </w:p>
    <w:p w14:paraId="7F9ADDBC" w14:textId="4E08B472" w:rsidR="00243EBC" w:rsidRDefault="00243EBC" w:rsidP="00243EBC">
      <w:pPr>
        <w:rPr>
          <w:sz w:val="4"/>
          <w:szCs w:val="4"/>
        </w:rPr>
      </w:pPr>
    </w:p>
    <w:p w14:paraId="3EFF6756" w14:textId="77777777" w:rsidR="007362BE" w:rsidRDefault="007362BE" w:rsidP="007362BE">
      <w:pPr>
        <w:rPr>
          <w:sz w:val="4"/>
          <w:szCs w:val="4"/>
        </w:rPr>
      </w:pPr>
    </w:p>
    <w:p w14:paraId="50D4FB14" w14:textId="77777777" w:rsidR="0000232D" w:rsidRDefault="0000232D" w:rsidP="007362BE">
      <w:pPr>
        <w:rPr>
          <w:sz w:val="4"/>
          <w:szCs w:val="4"/>
        </w:rPr>
      </w:pPr>
    </w:p>
    <w:p w14:paraId="43F577F5" w14:textId="77777777" w:rsidR="0000232D" w:rsidRDefault="0000232D" w:rsidP="007362BE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0232D" w14:paraId="2A6BB602" w14:textId="77777777" w:rsidTr="00A773F3">
        <w:trPr>
          <w:trHeight w:val="113"/>
        </w:trPr>
        <w:tc>
          <w:tcPr>
            <w:tcW w:w="13290" w:type="dxa"/>
            <w:gridSpan w:val="4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58069E9" w14:textId="77777777" w:rsidR="0000232D" w:rsidRPr="002E0148" w:rsidRDefault="0000232D" w:rsidP="00E318F3">
            <w:pPr>
              <w:rPr>
                <w:rFonts w:ascii="Arial" w:eastAsia="Verdana" w:hAnsi="Arial" w:cs="Arial"/>
                <w:b/>
                <w:sz w:val="19"/>
                <w:szCs w:val="19"/>
              </w:rPr>
            </w:pPr>
            <w:r w:rsidRPr="00A96A37"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0232D" w14:paraId="484DC542" w14:textId="77777777" w:rsidTr="00A773F3">
        <w:trPr>
          <w:trHeight w:val="8005"/>
        </w:trPr>
        <w:tc>
          <w:tcPr>
            <w:tcW w:w="3322" w:type="dxa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1324492" w14:textId="77777777" w:rsidR="0000232D" w:rsidRPr="002E0148" w:rsidRDefault="0000232D" w:rsidP="00E318F3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07D405A" w14:textId="77777777" w:rsidR="0000232D" w:rsidRPr="00B64C00" w:rsidRDefault="0000232D" w:rsidP="00E318F3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01A6FB9" w14:textId="77777777" w:rsidR="0000232D" w:rsidRPr="00FA6158" w:rsidRDefault="0000232D" w:rsidP="00E318F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13CE5EE" w14:textId="77777777" w:rsidR="0000232D" w:rsidRPr="00B1485A" w:rsidRDefault="0000232D" w:rsidP="00E318F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5186FA9" w14:textId="77777777" w:rsidR="0000232D" w:rsidRPr="007362BE" w:rsidRDefault="0000232D" w:rsidP="007362BE">
      <w:pPr>
        <w:rPr>
          <w:sz w:val="4"/>
          <w:szCs w:val="4"/>
        </w:rPr>
      </w:pPr>
    </w:p>
    <w:sectPr w:rsidR="0000232D" w:rsidRPr="007362BE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24205" w14:textId="77777777" w:rsidR="000137E9" w:rsidRDefault="000137E9" w:rsidP="00CA2529">
      <w:pPr>
        <w:spacing w:after="0" w:line="240" w:lineRule="auto"/>
      </w:pPr>
      <w:r>
        <w:separator/>
      </w:r>
    </w:p>
  </w:endnote>
  <w:endnote w:type="continuationSeparator" w:id="0">
    <w:p w14:paraId="09F92A91" w14:textId="77777777" w:rsidR="000137E9" w:rsidRDefault="000137E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0C968" w14:textId="3C6B1182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43EBC">
      <w:rPr>
        <w:rFonts w:ascii="Arial" w:hAnsi="Arial" w:cs="Arial"/>
        <w:b/>
        <w:sz w:val="15"/>
        <w:szCs w:val="15"/>
      </w:rPr>
      <w:t>8</w:t>
    </w:r>
    <w:r w:rsidR="00A773F3">
      <w:rPr>
        <w:rFonts w:ascii="Arial" w:hAnsi="Arial" w:cs="Arial"/>
        <w:b/>
        <w:sz w:val="15"/>
        <w:szCs w:val="15"/>
      </w:rPr>
      <w:t xml:space="preserve"> PEI</w:t>
    </w:r>
    <w:r w:rsidR="00A96A37">
      <w:rPr>
        <w:rFonts w:ascii="Arial" w:hAnsi="Arial" w:cs="Arial"/>
        <w:b/>
        <w:sz w:val="15"/>
        <w:szCs w:val="15"/>
      </w:rPr>
      <w:t>,</w:t>
    </w:r>
    <w:r w:rsidR="00002E7D">
      <w:rPr>
        <w:rFonts w:ascii="Arial" w:hAnsi="Arial" w:cs="Arial"/>
        <w:b/>
        <w:sz w:val="15"/>
        <w:szCs w:val="15"/>
      </w:rPr>
      <w:t xml:space="preserve"> </w:t>
    </w:r>
    <w:r w:rsidR="007C346C">
      <w:rPr>
        <w:rFonts w:ascii="Arial" w:hAnsi="Arial" w:cs="Arial"/>
        <w:b/>
        <w:i/>
        <w:iCs/>
        <w:sz w:val="15"/>
        <w:szCs w:val="15"/>
      </w:rPr>
      <w:t>Data Management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A773F3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EBDED7" w14:textId="77777777" w:rsidR="000137E9" w:rsidRDefault="000137E9" w:rsidP="00CA2529">
      <w:pPr>
        <w:spacing w:after="0" w:line="240" w:lineRule="auto"/>
      </w:pPr>
      <w:r>
        <w:separator/>
      </w:r>
    </w:p>
  </w:footnote>
  <w:footnote w:type="continuationSeparator" w:id="0">
    <w:p w14:paraId="31ACE472" w14:textId="77777777" w:rsidR="000137E9" w:rsidRDefault="000137E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A000" w14:textId="25D73AA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4FBB400">
              <wp:simplePos x="0" y="0"/>
              <wp:positionH relativeFrom="column">
                <wp:posOffset>-1905</wp:posOffset>
              </wp:positionH>
              <wp:positionV relativeFrom="paragraph">
                <wp:posOffset>27305</wp:posOffset>
              </wp:positionV>
              <wp:extent cx="1562100" cy="4889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BC3EC29" w:rsidR="00E613E3" w:rsidRPr="00243EBC" w:rsidRDefault="00763F0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Statistics 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15pt;width:123pt;height:3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" filled="f" stroked="f">
              <v:textbox>
                <w:txbxContent>
                  <w:p w14:paraId="2521030B" w14:textId="4BC3EC29" w:rsidR="00E613E3" w:rsidRPr="00243EBC" w:rsidRDefault="00763F0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Statistics 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D64404">
      <w:rPr>
        <w:rFonts w:ascii="Arial" w:hAnsi="Arial" w:cs="Arial"/>
        <w:b/>
        <w:sz w:val="36"/>
        <w:szCs w:val="36"/>
      </w:rPr>
      <w:t xml:space="preserve">Lesson </w:t>
    </w:r>
    <w:r w:rsidR="00D42AD3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24008314" w:rsidR="001B5E12" w:rsidRPr="001B5E12" w:rsidRDefault="00A9215A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Presenting Data Graphically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5031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232D"/>
    <w:rsid w:val="00002E7D"/>
    <w:rsid w:val="00003E47"/>
    <w:rsid w:val="000137E9"/>
    <w:rsid w:val="000378A5"/>
    <w:rsid w:val="00050E5C"/>
    <w:rsid w:val="00051A0E"/>
    <w:rsid w:val="00053328"/>
    <w:rsid w:val="000623D3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2056"/>
    <w:rsid w:val="000D2C09"/>
    <w:rsid w:val="000D3592"/>
    <w:rsid w:val="000D3F8B"/>
    <w:rsid w:val="000D7137"/>
    <w:rsid w:val="000E4378"/>
    <w:rsid w:val="000E788F"/>
    <w:rsid w:val="000F43C1"/>
    <w:rsid w:val="00112FF1"/>
    <w:rsid w:val="001168AC"/>
    <w:rsid w:val="00120E06"/>
    <w:rsid w:val="00122C88"/>
    <w:rsid w:val="001314D9"/>
    <w:rsid w:val="0014110A"/>
    <w:rsid w:val="00143214"/>
    <w:rsid w:val="00150EEF"/>
    <w:rsid w:val="00186505"/>
    <w:rsid w:val="001905CB"/>
    <w:rsid w:val="00192706"/>
    <w:rsid w:val="001A2F9D"/>
    <w:rsid w:val="001A7920"/>
    <w:rsid w:val="001B30A9"/>
    <w:rsid w:val="001B5E12"/>
    <w:rsid w:val="001C309A"/>
    <w:rsid w:val="001C4185"/>
    <w:rsid w:val="001D131B"/>
    <w:rsid w:val="001D2FCF"/>
    <w:rsid w:val="001D6FE4"/>
    <w:rsid w:val="001E4AF8"/>
    <w:rsid w:val="001F5C30"/>
    <w:rsid w:val="00207CC0"/>
    <w:rsid w:val="0021179B"/>
    <w:rsid w:val="00215C2F"/>
    <w:rsid w:val="00243EBC"/>
    <w:rsid w:val="002461F7"/>
    <w:rsid w:val="00254851"/>
    <w:rsid w:val="00270D20"/>
    <w:rsid w:val="0028196A"/>
    <w:rsid w:val="00282045"/>
    <w:rsid w:val="0028676E"/>
    <w:rsid w:val="00293631"/>
    <w:rsid w:val="00296F57"/>
    <w:rsid w:val="002A3FDC"/>
    <w:rsid w:val="002B19A5"/>
    <w:rsid w:val="002C0C24"/>
    <w:rsid w:val="002C2234"/>
    <w:rsid w:val="002C432C"/>
    <w:rsid w:val="002C4CB2"/>
    <w:rsid w:val="002C5339"/>
    <w:rsid w:val="002D0578"/>
    <w:rsid w:val="002D5767"/>
    <w:rsid w:val="002E0148"/>
    <w:rsid w:val="002F051B"/>
    <w:rsid w:val="003014A9"/>
    <w:rsid w:val="003059FA"/>
    <w:rsid w:val="0031013D"/>
    <w:rsid w:val="00312584"/>
    <w:rsid w:val="003130F1"/>
    <w:rsid w:val="00316B88"/>
    <w:rsid w:val="003266A1"/>
    <w:rsid w:val="00333295"/>
    <w:rsid w:val="00333A8F"/>
    <w:rsid w:val="0034252B"/>
    <w:rsid w:val="00345039"/>
    <w:rsid w:val="00364E65"/>
    <w:rsid w:val="00370052"/>
    <w:rsid w:val="0038383B"/>
    <w:rsid w:val="003849E7"/>
    <w:rsid w:val="00395DA1"/>
    <w:rsid w:val="003A15DD"/>
    <w:rsid w:val="003A4D90"/>
    <w:rsid w:val="003A5E7F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5C12"/>
    <w:rsid w:val="0047628B"/>
    <w:rsid w:val="00483555"/>
    <w:rsid w:val="00483E98"/>
    <w:rsid w:val="00490204"/>
    <w:rsid w:val="004902FE"/>
    <w:rsid w:val="00492279"/>
    <w:rsid w:val="004959B6"/>
    <w:rsid w:val="004B1951"/>
    <w:rsid w:val="004B4F4B"/>
    <w:rsid w:val="004B5458"/>
    <w:rsid w:val="004C381D"/>
    <w:rsid w:val="004D074D"/>
    <w:rsid w:val="004D5D0E"/>
    <w:rsid w:val="004E1B38"/>
    <w:rsid w:val="004E4E4D"/>
    <w:rsid w:val="004E5A6A"/>
    <w:rsid w:val="004F137D"/>
    <w:rsid w:val="004F5C3F"/>
    <w:rsid w:val="00516A95"/>
    <w:rsid w:val="0052414A"/>
    <w:rsid w:val="0052693C"/>
    <w:rsid w:val="00527639"/>
    <w:rsid w:val="00533EF0"/>
    <w:rsid w:val="00543A9A"/>
    <w:rsid w:val="00581577"/>
    <w:rsid w:val="00582804"/>
    <w:rsid w:val="005975E7"/>
    <w:rsid w:val="005A3CE4"/>
    <w:rsid w:val="005B39DE"/>
    <w:rsid w:val="005B3A77"/>
    <w:rsid w:val="005B7D0F"/>
    <w:rsid w:val="005C330B"/>
    <w:rsid w:val="005D3D5E"/>
    <w:rsid w:val="0060757B"/>
    <w:rsid w:val="00614A33"/>
    <w:rsid w:val="00615D45"/>
    <w:rsid w:val="00621274"/>
    <w:rsid w:val="006212B0"/>
    <w:rsid w:val="00635FDD"/>
    <w:rsid w:val="006442BA"/>
    <w:rsid w:val="00652680"/>
    <w:rsid w:val="0065510C"/>
    <w:rsid w:val="00661689"/>
    <w:rsid w:val="00674F52"/>
    <w:rsid w:val="0068193A"/>
    <w:rsid w:val="00696ABC"/>
    <w:rsid w:val="006A141B"/>
    <w:rsid w:val="006B210D"/>
    <w:rsid w:val="006B41FB"/>
    <w:rsid w:val="006C0F0C"/>
    <w:rsid w:val="006C6F74"/>
    <w:rsid w:val="006D2F30"/>
    <w:rsid w:val="006E062C"/>
    <w:rsid w:val="006F6779"/>
    <w:rsid w:val="007029A0"/>
    <w:rsid w:val="0072422E"/>
    <w:rsid w:val="00733E9A"/>
    <w:rsid w:val="007362BE"/>
    <w:rsid w:val="00741178"/>
    <w:rsid w:val="00763F0D"/>
    <w:rsid w:val="0076731B"/>
    <w:rsid w:val="0078278F"/>
    <w:rsid w:val="0078496A"/>
    <w:rsid w:val="00793ACA"/>
    <w:rsid w:val="007A6B78"/>
    <w:rsid w:val="007A6FD8"/>
    <w:rsid w:val="007C346C"/>
    <w:rsid w:val="007C4F24"/>
    <w:rsid w:val="007D11C5"/>
    <w:rsid w:val="007E4CD3"/>
    <w:rsid w:val="007F0C53"/>
    <w:rsid w:val="007F26EA"/>
    <w:rsid w:val="007F6D71"/>
    <w:rsid w:val="008009F7"/>
    <w:rsid w:val="00805A4E"/>
    <w:rsid w:val="0081282E"/>
    <w:rsid w:val="008261CA"/>
    <w:rsid w:val="008326A2"/>
    <w:rsid w:val="00832B16"/>
    <w:rsid w:val="00851D64"/>
    <w:rsid w:val="00853E99"/>
    <w:rsid w:val="008545B3"/>
    <w:rsid w:val="00883F8C"/>
    <w:rsid w:val="0088542E"/>
    <w:rsid w:val="00897F5A"/>
    <w:rsid w:val="008A747C"/>
    <w:rsid w:val="008A76A0"/>
    <w:rsid w:val="008B4F5E"/>
    <w:rsid w:val="008C7653"/>
    <w:rsid w:val="008D1751"/>
    <w:rsid w:val="008D4311"/>
    <w:rsid w:val="008D688E"/>
    <w:rsid w:val="008E46FD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A02279"/>
    <w:rsid w:val="00A03BD7"/>
    <w:rsid w:val="00A11A23"/>
    <w:rsid w:val="00A121B6"/>
    <w:rsid w:val="00A2716E"/>
    <w:rsid w:val="00A36AA1"/>
    <w:rsid w:val="00A43E96"/>
    <w:rsid w:val="00A510EC"/>
    <w:rsid w:val="00A658DB"/>
    <w:rsid w:val="00A66EDD"/>
    <w:rsid w:val="00A73B2F"/>
    <w:rsid w:val="00A773F3"/>
    <w:rsid w:val="00A9215A"/>
    <w:rsid w:val="00A96A37"/>
    <w:rsid w:val="00AA5CD1"/>
    <w:rsid w:val="00AB096E"/>
    <w:rsid w:val="00AB527F"/>
    <w:rsid w:val="00AC6799"/>
    <w:rsid w:val="00AC7428"/>
    <w:rsid w:val="00AE17F3"/>
    <w:rsid w:val="00AE494A"/>
    <w:rsid w:val="00AF44FF"/>
    <w:rsid w:val="00B1485A"/>
    <w:rsid w:val="00B24451"/>
    <w:rsid w:val="00B64C00"/>
    <w:rsid w:val="00B852AD"/>
    <w:rsid w:val="00B9593A"/>
    <w:rsid w:val="00BA072D"/>
    <w:rsid w:val="00BA10A4"/>
    <w:rsid w:val="00BD16F1"/>
    <w:rsid w:val="00BD5ACB"/>
    <w:rsid w:val="00BE7BA6"/>
    <w:rsid w:val="00BF093C"/>
    <w:rsid w:val="00C031B1"/>
    <w:rsid w:val="00C108A9"/>
    <w:rsid w:val="00C3622C"/>
    <w:rsid w:val="00C45623"/>
    <w:rsid w:val="00C72956"/>
    <w:rsid w:val="00C80D94"/>
    <w:rsid w:val="00C85AE2"/>
    <w:rsid w:val="00C953B9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23494"/>
    <w:rsid w:val="00D23A2C"/>
    <w:rsid w:val="00D26B06"/>
    <w:rsid w:val="00D3715D"/>
    <w:rsid w:val="00D372D1"/>
    <w:rsid w:val="00D42AD3"/>
    <w:rsid w:val="00D466FC"/>
    <w:rsid w:val="00D47062"/>
    <w:rsid w:val="00D56ECA"/>
    <w:rsid w:val="00D639AF"/>
    <w:rsid w:val="00D64404"/>
    <w:rsid w:val="00D67E78"/>
    <w:rsid w:val="00D7596A"/>
    <w:rsid w:val="00D80323"/>
    <w:rsid w:val="00D951CB"/>
    <w:rsid w:val="00DA118A"/>
    <w:rsid w:val="00DA1368"/>
    <w:rsid w:val="00DA13ED"/>
    <w:rsid w:val="00DB4EC8"/>
    <w:rsid w:val="00DD6F23"/>
    <w:rsid w:val="00DE285D"/>
    <w:rsid w:val="00DF4B21"/>
    <w:rsid w:val="00E12585"/>
    <w:rsid w:val="00E16179"/>
    <w:rsid w:val="00E21EE5"/>
    <w:rsid w:val="00E22A49"/>
    <w:rsid w:val="00E3662C"/>
    <w:rsid w:val="00E45E3B"/>
    <w:rsid w:val="00E532CA"/>
    <w:rsid w:val="00E56741"/>
    <w:rsid w:val="00E613E3"/>
    <w:rsid w:val="00E62986"/>
    <w:rsid w:val="00E71CBF"/>
    <w:rsid w:val="00E762D0"/>
    <w:rsid w:val="00E91B0F"/>
    <w:rsid w:val="00EC413C"/>
    <w:rsid w:val="00EE29C2"/>
    <w:rsid w:val="00EE4F03"/>
    <w:rsid w:val="00F01EB8"/>
    <w:rsid w:val="00F04686"/>
    <w:rsid w:val="00F05C19"/>
    <w:rsid w:val="00F06B81"/>
    <w:rsid w:val="00F10556"/>
    <w:rsid w:val="00F123BA"/>
    <w:rsid w:val="00F15085"/>
    <w:rsid w:val="00F1645A"/>
    <w:rsid w:val="00F23731"/>
    <w:rsid w:val="00F327B0"/>
    <w:rsid w:val="00F358C6"/>
    <w:rsid w:val="00F43E70"/>
    <w:rsid w:val="00F54626"/>
    <w:rsid w:val="00F64218"/>
    <w:rsid w:val="00F652A1"/>
    <w:rsid w:val="00F86C1E"/>
    <w:rsid w:val="00FA377A"/>
    <w:rsid w:val="00FA6033"/>
    <w:rsid w:val="00FA6158"/>
    <w:rsid w:val="00FC31DB"/>
    <w:rsid w:val="00FD2B2E"/>
    <w:rsid w:val="00FD430D"/>
    <w:rsid w:val="00FD554D"/>
    <w:rsid w:val="00FE0BBF"/>
    <w:rsid w:val="00FE61E8"/>
    <w:rsid w:val="00FE6750"/>
    <w:rsid w:val="00FF48B7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02E7D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43EB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17F3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17F3"/>
    <w:rPr>
      <w:rFonts w:eastAsiaTheme="minorEastAsia"/>
      <w:b/>
      <w:bCs/>
      <w:sz w:val="20"/>
      <w:szCs w:val="20"/>
      <w:lang w:val="en-US" w:eastAsia="zh-CN"/>
    </w:rPr>
  </w:style>
  <w:style w:type="character" w:styleId="Hyperlink">
    <w:name w:val="Hyperlink"/>
    <w:basedOn w:val="DefaultParagraphFont"/>
    <w:uiPriority w:val="99"/>
    <w:unhideWhenUsed/>
    <w:rsid w:val="008A76A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8A76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79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116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25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7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28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2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691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1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63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0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483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44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87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49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043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1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3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9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1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792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42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66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980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44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98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55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38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01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29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89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658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28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3F7AD-7E34-429B-BA5C-D95B3B9413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06F944-FF6B-4E65-BDB3-25BF797794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0E1F60-B788-47DB-809C-3ADE6121E8F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Samantha Delisser</cp:lastModifiedBy>
  <cp:revision>2</cp:revision>
  <cp:lastPrinted>2023-09-11T16:25:00Z</cp:lastPrinted>
  <dcterms:created xsi:type="dcterms:W3CDTF">2025-08-15T23:15:00Z</dcterms:created>
  <dcterms:modified xsi:type="dcterms:W3CDTF">2025-08-15T23:15:00Z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